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E758" w14:textId="5AC7A5C2" w:rsidR="0002148C" w:rsidRPr="00CE2172" w:rsidRDefault="00CE2172" w:rsidP="00CE2172">
      <w:pPr>
        <w:jc w:val="center"/>
      </w:pPr>
      <w:r>
        <w:rPr>
          <w:noProof/>
        </w:rPr>
        <w:drawing>
          <wp:inline distT="0" distB="0" distL="0" distR="0" wp14:anchorId="4E47606A" wp14:editId="1D189588">
            <wp:extent cx="2611581" cy="387552"/>
            <wp:effectExtent l="0" t="0" r="0" b="0"/>
            <wp:docPr id="1570161164" name="Picture 1" descr="A black background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61164" name="Picture 1" descr="A black background with white lette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0094" cy="406623"/>
                    </a:xfrm>
                    <a:prstGeom prst="rect">
                      <a:avLst/>
                    </a:prstGeom>
                  </pic:spPr>
                </pic:pic>
              </a:graphicData>
            </a:graphic>
          </wp:inline>
        </w:drawing>
      </w:r>
    </w:p>
    <w:bookmarkStart w:id="0" w:name="_Hlk204578734"/>
    <w:p w14:paraId="10D0D0F5" w14:textId="55D34148" w:rsidR="00372B43" w:rsidRPr="00372B43" w:rsidRDefault="00372B43" w:rsidP="0002148C">
      <w:pPr>
        <w:jc w:val="center"/>
        <w:rPr>
          <w:b/>
          <w:bCs/>
          <w:i/>
          <w:iCs/>
          <w:color w:val="074F6A" w:themeColor="accent4" w:themeShade="80"/>
          <w:sz w:val="40"/>
          <w:szCs w:val="40"/>
        </w:rPr>
      </w:pPr>
      <w:r w:rsidRPr="006E3A6F">
        <w:rPr>
          <w:b/>
          <w:bCs/>
          <w:sz w:val="32"/>
          <w:szCs w:val="32"/>
        </w:rPr>
        <w:fldChar w:fldCharType="begin"/>
      </w:r>
      <w:r w:rsidR="003E18E0">
        <w:rPr>
          <w:b/>
          <w:bCs/>
          <w:sz w:val="32"/>
          <w:szCs w:val="32"/>
        </w:rPr>
        <w:instrText>HYPERLINK "https://www.socialworkportal.com/all-in-one-case-management-tool/"</w:instrText>
      </w:r>
      <w:r w:rsidRPr="006E3A6F">
        <w:rPr>
          <w:b/>
          <w:bCs/>
          <w:sz w:val="32"/>
          <w:szCs w:val="32"/>
        </w:rPr>
      </w:r>
      <w:r w:rsidRPr="006E3A6F">
        <w:rPr>
          <w:b/>
          <w:bCs/>
          <w:sz w:val="32"/>
          <w:szCs w:val="32"/>
        </w:rPr>
        <w:fldChar w:fldCharType="separate"/>
      </w:r>
      <w:r w:rsidRPr="006E3A6F">
        <w:rPr>
          <w:rStyle w:val="Hyperlink"/>
          <w:b/>
          <w:bCs/>
          <w:sz w:val="32"/>
          <w:szCs w:val="32"/>
        </w:rPr>
        <w:t xml:space="preserve">Get Your </w:t>
      </w:r>
      <w:r w:rsidR="006E3A6F" w:rsidRPr="006E3A6F">
        <w:rPr>
          <w:rStyle w:val="Hyperlink"/>
          <w:b/>
          <w:bCs/>
          <w:sz w:val="32"/>
          <w:szCs w:val="32"/>
        </w:rPr>
        <w:t xml:space="preserve">Free </w:t>
      </w:r>
      <w:r w:rsidRPr="006E3A6F">
        <w:rPr>
          <w:rStyle w:val="Hyperlink"/>
          <w:b/>
          <w:bCs/>
          <w:sz w:val="32"/>
          <w:szCs w:val="32"/>
        </w:rPr>
        <w:t>Case Management Software</w:t>
      </w:r>
      <w:r w:rsidRPr="006E3A6F">
        <w:rPr>
          <w:b/>
          <w:bCs/>
          <w:sz w:val="32"/>
          <w:szCs w:val="32"/>
        </w:rPr>
        <w:fldChar w:fldCharType="end"/>
      </w:r>
      <w:r w:rsidRPr="006E3A6F">
        <w:rPr>
          <w:b/>
          <w:bCs/>
          <w:sz w:val="32"/>
          <w:szCs w:val="32"/>
        </w:rPr>
        <w:t xml:space="preserve"> </w:t>
      </w:r>
      <w:r>
        <w:rPr>
          <w:b/>
          <w:bCs/>
          <w:sz w:val="28"/>
          <w:szCs w:val="28"/>
        </w:rPr>
        <w:br/>
      </w:r>
      <w:r w:rsidRPr="00372B43">
        <w:rPr>
          <w:i/>
          <w:iCs/>
        </w:rPr>
        <w:t>(Free Trial. No Credit Card Need</w:t>
      </w:r>
      <w:r w:rsidR="004B60AA">
        <w:rPr>
          <w:i/>
          <w:iCs/>
        </w:rPr>
        <w:t>ed</w:t>
      </w:r>
      <w:r w:rsidRPr="00372B43">
        <w:rPr>
          <w:i/>
          <w:iCs/>
        </w:rPr>
        <w:t>)</w:t>
      </w:r>
    </w:p>
    <w:bookmarkEnd w:id="0"/>
    <w:p w14:paraId="4DA66BA5" w14:textId="77777777" w:rsidR="00372B43" w:rsidRDefault="00000000" w:rsidP="0002148C">
      <w:pPr>
        <w:jc w:val="center"/>
      </w:pPr>
      <w:r>
        <w:pict w14:anchorId="1A86FD24">
          <v:rect id="_x0000_i1026" style="width:0;height:1.5pt" o:hralign="center" o:bullet="t" o:hrstd="t" o:hr="t" fillcolor="#a0a0a0" stroked="f"/>
        </w:pict>
      </w:r>
    </w:p>
    <w:p w14:paraId="06E9DC1D" w14:textId="7B9A7DD3" w:rsidR="0002148C" w:rsidRDefault="008351C0" w:rsidP="00B739F4">
      <w:pPr>
        <w:jc w:val="center"/>
      </w:pPr>
      <w:r w:rsidRPr="008351C0">
        <w:rPr>
          <w:b/>
          <w:bCs/>
          <w:color w:val="074F6A" w:themeColor="accent4" w:themeShade="80"/>
          <w:sz w:val="56"/>
          <w:szCs w:val="56"/>
        </w:rPr>
        <w:t>Top Mistakes to Avoid in Children’s Social Work: Your Quick-Action Checklist</w:t>
      </w:r>
      <w:r w:rsidR="00000000">
        <w:pict w14:anchorId="0E944CB6">
          <v:rect id="_x0000_i1027" style="width:0;height:1.5pt" o:hralign="center" o:hrstd="t" o:hr="t" fillcolor="#a0a0a0" stroked="f"/>
        </w:pict>
      </w:r>
    </w:p>
    <w:p w14:paraId="426DB86C" w14:textId="77777777" w:rsidR="008351C0" w:rsidRPr="008351C0" w:rsidRDefault="008351C0" w:rsidP="008351C0">
      <w:pPr>
        <w:spacing w:after="0"/>
        <w:rPr>
          <w:sz w:val="28"/>
          <w:szCs w:val="28"/>
        </w:rPr>
      </w:pPr>
      <w:r w:rsidRPr="008351C0">
        <w:rPr>
          <w:sz w:val="28"/>
          <w:szCs w:val="28"/>
        </w:rPr>
        <w:t>A practical guide for children’s social workers, child protection workers, and child and family social workers who want to protect children effectively while avoiding common pitfalls.</w:t>
      </w:r>
    </w:p>
    <w:p w14:paraId="0648E69F" w14:textId="77777777" w:rsidR="008351C0" w:rsidRPr="008351C0" w:rsidRDefault="008351C0" w:rsidP="008351C0">
      <w:pPr>
        <w:pStyle w:val="Heading2"/>
      </w:pPr>
      <w:r w:rsidRPr="008351C0">
        <w:t>Section 1 – Communication &amp; Relationship Building</w:t>
      </w:r>
    </w:p>
    <w:p w14:paraId="35C41E01" w14:textId="77777777" w:rsidR="008351C0" w:rsidRPr="008351C0" w:rsidRDefault="008351C0" w:rsidP="008351C0">
      <w:pPr>
        <w:spacing w:after="0"/>
        <w:rPr>
          <w:sz w:val="28"/>
          <w:szCs w:val="28"/>
        </w:rPr>
      </w:pPr>
      <w:r w:rsidRPr="008351C0">
        <w:rPr>
          <w:sz w:val="28"/>
          <w:szCs w:val="28"/>
        </w:rPr>
        <w:t>Mistake: Rushing into questions without building trust.</w:t>
      </w:r>
    </w:p>
    <w:p w14:paraId="6B3F40BD" w14:textId="77777777" w:rsidR="008351C0" w:rsidRDefault="008351C0" w:rsidP="008351C0">
      <w:pPr>
        <w:spacing w:after="0"/>
        <w:rPr>
          <w:sz w:val="28"/>
          <w:szCs w:val="28"/>
        </w:rPr>
      </w:pPr>
    </w:p>
    <w:p w14:paraId="3FBFE7B4" w14:textId="5E407E6F" w:rsidR="008351C0" w:rsidRPr="008351C0" w:rsidRDefault="008351C0" w:rsidP="008351C0">
      <w:pPr>
        <w:spacing w:after="0"/>
        <w:rPr>
          <w:sz w:val="28"/>
          <w:szCs w:val="28"/>
        </w:rPr>
      </w:pPr>
      <w:r w:rsidRPr="008351C0">
        <w:rPr>
          <w:sz w:val="28"/>
          <w:szCs w:val="28"/>
        </w:rPr>
        <w:t>✅ Do This Instead:</w:t>
      </w:r>
    </w:p>
    <w:p w14:paraId="4028A7FA" w14:textId="77777777" w:rsidR="008351C0" w:rsidRPr="008351C0" w:rsidRDefault="008351C0" w:rsidP="008351C0">
      <w:pPr>
        <w:spacing w:after="0"/>
        <w:rPr>
          <w:sz w:val="28"/>
          <w:szCs w:val="28"/>
        </w:rPr>
      </w:pPr>
      <w:r w:rsidRPr="008351C0">
        <w:rPr>
          <w:sz w:val="28"/>
          <w:szCs w:val="28"/>
        </w:rPr>
        <w:t>☐ Take 5–10 minutes to connect with the child before starting formal assessments.</w:t>
      </w:r>
    </w:p>
    <w:p w14:paraId="72C0F583" w14:textId="77777777" w:rsidR="008351C0" w:rsidRPr="008351C0" w:rsidRDefault="008351C0" w:rsidP="008351C0">
      <w:pPr>
        <w:spacing w:after="0"/>
        <w:rPr>
          <w:sz w:val="28"/>
          <w:szCs w:val="28"/>
        </w:rPr>
      </w:pPr>
      <w:r w:rsidRPr="008351C0">
        <w:rPr>
          <w:sz w:val="28"/>
          <w:szCs w:val="28"/>
        </w:rPr>
        <w:t>☐ Adjust your language to match the child’s age and developmental level.</w:t>
      </w:r>
    </w:p>
    <w:p w14:paraId="6F979EAB" w14:textId="77777777" w:rsidR="008351C0" w:rsidRPr="008351C0" w:rsidRDefault="008351C0" w:rsidP="008351C0">
      <w:pPr>
        <w:spacing w:after="0"/>
        <w:rPr>
          <w:sz w:val="28"/>
          <w:szCs w:val="28"/>
        </w:rPr>
      </w:pPr>
      <w:r w:rsidRPr="008351C0">
        <w:rPr>
          <w:sz w:val="28"/>
          <w:szCs w:val="28"/>
        </w:rPr>
        <w:t xml:space="preserve">☐ Use tools like play therapy, art, or storytelling to help children </w:t>
      </w:r>
      <w:proofErr w:type="gramStart"/>
      <w:r w:rsidRPr="008351C0">
        <w:rPr>
          <w:sz w:val="28"/>
          <w:szCs w:val="28"/>
        </w:rPr>
        <w:t>open up</w:t>
      </w:r>
      <w:proofErr w:type="gramEnd"/>
      <w:r w:rsidRPr="008351C0">
        <w:rPr>
          <w:sz w:val="28"/>
          <w:szCs w:val="28"/>
        </w:rPr>
        <w:t>.</w:t>
      </w:r>
    </w:p>
    <w:p w14:paraId="26AEFE88" w14:textId="77777777" w:rsidR="008351C0" w:rsidRPr="008351C0" w:rsidRDefault="008351C0" w:rsidP="008351C0">
      <w:pPr>
        <w:spacing w:after="0"/>
        <w:rPr>
          <w:sz w:val="28"/>
          <w:szCs w:val="28"/>
        </w:rPr>
      </w:pPr>
      <w:r w:rsidRPr="008351C0">
        <w:rPr>
          <w:sz w:val="28"/>
          <w:szCs w:val="28"/>
        </w:rPr>
        <w:t>☐ Validate the child’s feelings without judgment.</w:t>
      </w:r>
    </w:p>
    <w:p w14:paraId="22677D5A" w14:textId="77777777" w:rsidR="008351C0" w:rsidRDefault="008351C0" w:rsidP="008351C0">
      <w:pPr>
        <w:spacing w:after="0"/>
        <w:rPr>
          <w:sz w:val="28"/>
          <w:szCs w:val="28"/>
        </w:rPr>
      </w:pPr>
      <w:r w:rsidRPr="008351C0">
        <w:rPr>
          <w:sz w:val="28"/>
          <w:szCs w:val="28"/>
        </w:rPr>
        <w:t>Quick Check: Did I take time to make the child feel safe before moving into questions?</w:t>
      </w:r>
    </w:p>
    <w:p w14:paraId="5CE04E06" w14:textId="77777777" w:rsidR="008351C0" w:rsidRPr="008351C0" w:rsidRDefault="008351C0" w:rsidP="008351C0">
      <w:pPr>
        <w:spacing w:after="0"/>
        <w:rPr>
          <w:sz w:val="28"/>
          <w:szCs w:val="28"/>
        </w:rPr>
      </w:pPr>
    </w:p>
    <w:p w14:paraId="7740A648" w14:textId="77777777" w:rsidR="008351C0" w:rsidRPr="008351C0" w:rsidRDefault="008351C0" w:rsidP="008351C0">
      <w:pPr>
        <w:pStyle w:val="Heading2"/>
      </w:pPr>
      <w:r w:rsidRPr="008351C0">
        <w:t>Section 2 – Risk Assessment &amp; Child Protection</w:t>
      </w:r>
    </w:p>
    <w:p w14:paraId="06380807" w14:textId="77777777" w:rsidR="008351C0" w:rsidRDefault="008351C0" w:rsidP="008351C0">
      <w:pPr>
        <w:spacing w:after="0"/>
        <w:rPr>
          <w:sz w:val="28"/>
          <w:szCs w:val="28"/>
        </w:rPr>
      </w:pPr>
      <w:r w:rsidRPr="008351C0">
        <w:rPr>
          <w:sz w:val="28"/>
          <w:szCs w:val="28"/>
        </w:rPr>
        <w:t>Mistake: Relying on past reports or assumptions.</w:t>
      </w:r>
    </w:p>
    <w:p w14:paraId="33DA717C" w14:textId="77777777" w:rsidR="008351C0" w:rsidRPr="008351C0" w:rsidRDefault="008351C0" w:rsidP="008351C0">
      <w:pPr>
        <w:spacing w:after="0"/>
        <w:rPr>
          <w:sz w:val="28"/>
          <w:szCs w:val="28"/>
        </w:rPr>
      </w:pPr>
    </w:p>
    <w:p w14:paraId="2E98AF5D" w14:textId="77777777" w:rsidR="008351C0" w:rsidRPr="008351C0" w:rsidRDefault="008351C0" w:rsidP="008351C0">
      <w:pPr>
        <w:spacing w:after="0"/>
        <w:rPr>
          <w:sz w:val="28"/>
          <w:szCs w:val="28"/>
        </w:rPr>
      </w:pPr>
      <w:r w:rsidRPr="008351C0">
        <w:rPr>
          <w:sz w:val="28"/>
          <w:szCs w:val="28"/>
        </w:rPr>
        <w:t>✅ Do This Instead:</w:t>
      </w:r>
    </w:p>
    <w:p w14:paraId="328C4CD1" w14:textId="77777777" w:rsidR="008351C0" w:rsidRPr="008351C0" w:rsidRDefault="008351C0" w:rsidP="008351C0">
      <w:pPr>
        <w:spacing w:after="0"/>
        <w:rPr>
          <w:sz w:val="28"/>
          <w:szCs w:val="28"/>
        </w:rPr>
      </w:pPr>
      <w:r w:rsidRPr="008351C0">
        <w:rPr>
          <w:sz w:val="28"/>
          <w:szCs w:val="28"/>
        </w:rPr>
        <w:t>☐ Always perform a fresh, objective risk assessment for every new referral.</w:t>
      </w:r>
    </w:p>
    <w:p w14:paraId="4B6BB316" w14:textId="77777777" w:rsidR="008351C0" w:rsidRPr="008351C0" w:rsidRDefault="008351C0" w:rsidP="008351C0">
      <w:pPr>
        <w:spacing w:after="0"/>
        <w:rPr>
          <w:sz w:val="28"/>
          <w:szCs w:val="28"/>
        </w:rPr>
      </w:pPr>
      <w:r w:rsidRPr="008351C0">
        <w:rPr>
          <w:sz w:val="28"/>
          <w:szCs w:val="28"/>
        </w:rPr>
        <w:lastRenderedPageBreak/>
        <w:t>☐ Gather input from multiple sources: family, school staff, medical professionals, and the child.</w:t>
      </w:r>
    </w:p>
    <w:p w14:paraId="7DC21F91" w14:textId="77777777" w:rsidR="008351C0" w:rsidRPr="008351C0" w:rsidRDefault="008351C0" w:rsidP="008351C0">
      <w:pPr>
        <w:spacing w:after="0"/>
        <w:rPr>
          <w:sz w:val="28"/>
          <w:szCs w:val="28"/>
        </w:rPr>
      </w:pPr>
      <w:r w:rsidRPr="008351C0">
        <w:rPr>
          <w:sz w:val="28"/>
          <w:szCs w:val="28"/>
        </w:rPr>
        <w:t>☐ Document both risks and protective factors.</w:t>
      </w:r>
    </w:p>
    <w:p w14:paraId="1B41EFF2" w14:textId="77777777" w:rsidR="008351C0" w:rsidRPr="008351C0" w:rsidRDefault="008351C0" w:rsidP="008351C0">
      <w:pPr>
        <w:spacing w:after="0"/>
        <w:rPr>
          <w:sz w:val="28"/>
          <w:szCs w:val="28"/>
        </w:rPr>
      </w:pPr>
      <w:r w:rsidRPr="008351C0">
        <w:rPr>
          <w:sz w:val="28"/>
          <w:szCs w:val="28"/>
        </w:rPr>
        <w:t>☐ Keep the child’s perspective central to decision-making.</w:t>
      </w:r>
    </w:p>
    <w:p w14:paraId="5D3186BC" w14:textId="77777777" w:rsidR="008351C0" w:rsidRDefault="008351C0" w:rsidP="008351C0">
      <w:pPr>
        <w:spacing w:after="0"/>
        <w:rPr>
          <w:sz w:val="28"/>
          <w:szCs w:val="28"/>
        </w:rPr>
      </w:pPr>
    </w:p>
    <w:p w14:paraId="4B9ECA8A" w14:textId="1C114284" w:rsidR="008351C0" w:rsidRDefault="008351C0" w:rsidP="008351C0">
      <w:pPr>
        <w:spacing w:after="0"/>
        <w:rPr>
          <w:sz w:val="28"/>
          <w:szCs w:val="28"/>
        </w:rPr>
      </w:pPr>
      <w:r w:rsidRPr="008351C0">
        <w:rPr>
          <w:sz w:val="28"/>
          <w:szCs w:val="28"/>
        </w:rPr>
        <w:t>Quick Check: Have I verified all information from at least two credible sources?</w:t>
      </w:r>
    </w:p>
    <w:p w14:paraId="0D84D478" w14:textId="77777777" w:rsidR="008351C0" w:rsidRPr="008351C0" w:rsidRDefault="008351C0" w:rsidP="008351C0">
      <w:pPr>
        <w:spacing w:after="0"/>
        <w:rPr>
          <w:sz w:val="28"/>
          <w:szCs w:val="28"/>
        </w:rPr>
      </w:pPr>
    </w:p>
    <w:p w14:paraId="25CCEFBE" w14:textId="77777777" w:rsidR="008351C0" w:rsidRPr="008351C0" w:rsidRDefault="008351C0" w:rsidP="008351C0">
      <w:pPr>
        <w:pStyle w:val="Heading2"/>
      </w:pPr>
      <w:r w:rsidRPr="008351C0">
        <w:t>Section 3 – Documentation &amp; Record-Keeping</w:t>
      </w:r>
    </w:p>
    <w:p w14:paraId="42161D2C" w14:textId="1EFCC00A" w:rsidR="008351C0" w:rsidRPr="008351C0" w:rsidRDefault="008351C0" w:rsidP="008351C0">
      <w:pPr>
        <w:spacing w:after="0"/>
        <w:rPr>
          <w:sz w:val="28"/>
          <w:szCs w:val="28"/>
        </w:rPr>
      </w:pPr>
      <w:r w:rsidRPr="008351C0">
        <w:rPr>
          <w:sz w:val="28"/>
          <w:szCs w:val="28"/>
        </w:rPr>
        <w:t>Mistake: Writing vague or delayed case notes.</w:t>
      </w:r>
    </w:p>
    <w:p w14:paraId="006011AB" w14:textId="77777777" w:rsidR="008351C0" w:rsidRDefault="008351C0" w:rsidP="008351C0">
      <w:pPr>
        <w:spacing w:after="0"/>
        <w:rPr>
          <w:sz w:val="28"/>
          <w:szCs w:val="28"/>
        </w:rPr>
      </w:pPr>
    </w:p>
    <w:p w14:paraId="6569EFF5" w14:textId="3B45D097" w:rsidR="008351C0" w:rsidRPr="008351C0" w:rsidRDefault="008351C0" w:rsidP="008351C0">
      <w:pPr>
        <w:spacing w:after="0"/>
        <w:rPr>
          <w:sz w:val="28"/>
          <w:szCs w:val="28"/>
        </w:rPr>
      </w:pPr>
      <w:r w:rsidRPr="008351C0">
        <w:rPr>
          <w:sz w:val="28"/>
          <w:szCs w:val="28"/>
        </w:rPr>
        <w:t>✅ Do This Instead:</w:t>
      </w:r>
    </w:p>
    <w:p w14:paraId="2C277514" w14:textId="77777777" w:rsidR="008351C0" w:rsidRPr="008351C0" w:rsidRDefault="008351C0" w:rsidP="008351C0">
      <w:pPr>
        <w:spacing w:after="0"/>
        <w:rPr>
          <w:sz w:val="28"/>
          <w:szCs w:val="28"/>
        </w:rPr>
      </w:pPr>
      <w:r w:rsidRPr="008351C0">
        <w:rPr>
          <w:sz w:val="28"/>
          <w:szCs w:val="28"/>
        </w:rPr>
        <w:t>☐ Record notes immediately after each visit or call.</w:t>
      </w:r>
    </w:p>
    <w:p w14:paraId="00C34966" w14:textId="77777777" w:rsidR="008351C0" w:rsidRPr="008351C0" w:rsidRDefault="008351C0" w:rsidP="008351C0">
      <w:pPr>
        <w:spacing w:after="0"/>
        <w:rPr>
          <w:sz w:val="28"/>
          <w:szCs w:val="28"/>
        </w:rPr>
      </w:pPr>
      <w:r w:rsidRPr="008351C0">
        <w:rPr>
          <w:sz w:val="28"/>
          <w:szCs w:val="28"/>
        </w:rPr>
        <w:t>☐ Include clear, factual observations plus your professional analysis.</w:t>
      </w:r>
    </w:p>
    <w:p w14:paraId="5EE38C52" w14:textId="77777777" w:rsidR="008351C0" w:rsidRPr="008351C0" w:rsidRDefault="008351C0" w:rsidP="008351C0">
      <w:pPr>
        <w:spacing w:after="0"/>
        <w:rPr>
          <w:sz w:val="28"/>
          <w:szCs w:val="28"/>
        </w:rPr>
      </w:pPr>
      <w:r w:rsidRPr="008351C0">
        <w:rPr>
          <w:sz w:val="28"/>
          <w:szCs w:val="28"/>
        </w:rPr>
        <w:t>☐ Focus on the child’s safety, development, and emotional well-being.</w:t>
      </w:r>
    </w:p>
    <w:p w14:paraId="5A8AFD74" w14:textId="77777777" w:rsidR="008351C0" w:rsidRPr="008351C0" w:rsidRDefault="008351C0" w:rsidP="008351C0">
      <w:pPr>
        <w:spacing w:after="0"/>
        <w:rPr>
          <w:sz w:val="28"/>
          <w:szCs w:val="28"/>
        </w:rPr>
      </w:pPr>
      <w:r w:rsidRPr="008351C0">
        <w:rPr>
          <w:sz w:val="28"/>
          <w:szCs w:val="28"/>
        </w:rPr>
        <w:t>☐ Avoid jargon—write so any professional (or a court) can understand.</w:t>
      </w:r>
    </w:p>
    <w:p w14:paraId="3E74A601" w14:textId="77777777" w:rsidR="008351C0" w:rsidRDefault="008351C0" w:rsidP="008351C0">
      <w:pPr>
        <w:spacing w:after="0"/>
        <w:rPr>
          <w:sz w:val="28"/>
          <w:szCs w:val="28"/>
        </w:rPr>
      </w:pPr>
    </w:p>
    <w:p w14:paraId="212A4460" w14:textId="74A37962" w:rsidR="008351C0" w:rsidRPr="008351C0" w:rsidRDefault="008351C0" w:rsidP="008351C0">
      <w:pPr>
        <w:spacing w:after="0"/>
        <w:rPr>
          <w:sz w:val="28"/>
          <w:szCs w:val="28"/>
        </w:rPr>
      </w:pPr>
      <w:r w:rsidRPr="008351C0">
        <w:rPr>
          <w:sz w:val="28"/>
          <w:szCs w:val="28"/>
        </w:rPr>
        <w:t>Quick Check: Would my notes make sense to someone who’s never met the child?</w:t>
      </w:r>
    </w:p>
    <w:p w14:paraId="6D8DECAA" w14:textId="77777777" w:rsidR="008351C0" w:rsidRPr="008351C0" w:rsidRDefault="008351C0" w:rsidP="008351C0">
      <w:pPr>
        <w:pStyle w:val="Heading2"/>
      </w:pPr>
      <w:r w:rsidRPr="008351C0">
        <w:t>Section 4 – Collaboration &amp; Interdisciplinary Work</w:t>
      </w:r>
    </w:p>
    <w:p w14:paraId="78BD3522" w14:textId="77777777" w:rsidR="008351C0" w:rsidRPr="008351C0" w:rsidRDefault="008351C0" w:rsidP="008351C0">
      <w:pPr>
        <w:spacing w:after="0"/>
        <w:rPr>
          <w:sz w:val="28"/>
          <w:szCs w:val="28"/>
        </w:rPr>
      </w:pPr>
      <w:r w:rsidRPr="008351C0">
        <w:rPr>
          <w:sz w:val="28"/>
          <w:szCs w:val="28"/>
        </w:rPr>
        <w:t>Mistake: Working in isolation without engaging other professionals.</w:t>
      </w:r>
    </w:p>
    <w:p w14:paraId="0DAC5177" w14:textId="77777777" w:rsidR="008351C0" w:rsidRPr="008351C0" w:rsidRDefault="008351C0" w:rsidP="008351C0">
      <w:pPr>
        <w:spacing w:after="0"/>
        <w:rPr>
          <w:sz w:val="28"/>
          <w:szCs w:val="28"/>
        </w:rPr>
      </w:pPr>
      <w:r w:rsidRPr="008351C0">
        <w:rPr>
          <w:sz w:val="28"/>
          <w:szCs w:val="28"/>
        </w:rPr>
        <w:t>✅ Do This Instead:</w:t>
      </w:r>
    </w:p>
    <w:p w14:paraId="26BDFC4D" w14:textId="77777777" w:rsidR="008351C0" w:rsidRPr="008351C0" w:rsidRDefault="008351C0" w:rsidP="008351C0">
      <w:pPr>
        <w:spacing w:after="0"/>
        <w:rPr>
          <w:sz w:val="28"/>
          <w:szCs w:val="28"/>
        </w:rPr>
      </w:pPr>
      <w:r w:rsidRPr="008351C0">
        <w:rPr>
          <w:sz w:val="28"/>
          <w:szCs w:val="28"/>
        </w:rPr>
        <w:t>☐ Share relevant case updates with teachers, healthcare providers, and other support workers.</w:t>
      </w:r>
    </w:p>
    <w:p w14:paraId="6184E70B" w14:textId="77777777" w:rsidR="008351C0" w:rsidRPr="008351C0" w:rsidRDefault="008351C0" w:rsidP="008351C0">
      <w:pPr>
        <w:spacing w:after="0"/>
        <w:rPr>
          <w:sz w:val="28"/>
          <w:szCs w:val="28"/>
        </w:rPr>
      </w:pPr>
      <w:r w:rsidRPr="008351C0">
        <w:rPr>
          <w:sz w:val="28"/>
          <w:szCs w:val="28"/>
        </w:rPr>
        <w:t>☐ Respect confidentiality, but don’t withhold critical safety information.</w:t>
      </w:r>
    </w:p>
    <w:p w14:paraId="42A07F5E" w14:textId="77777777" w:rsidR="008351C0" w:rsidRPr="008351C0" w:rsidRDefault="008351C0" w:rsidP="008351C0">
      <w:pPr>
        <w:spacing w:after="0"/>
        <w:rPr>
          <w:sz w:val="28"/>
          <w:szCs w:val="28"/>
        </w:rPr>
      </w:pPr>
      <w:r w:rsidRPr="008351C0">
        <w:rPr>
          <w:sz w:val="28"/>
          <w:szCs w:val="28"/>
        </w:rPr>
        <w:t>☐ Be proactive in arranging joint case conferences.</w:t>
      </w:r>
    </w:p>
    <w:p w14:paraId="224301FB" w14:textId="77777777" w:rsidR="008351C0" w:rsidRPr="008351C0" w:rsidRDefault="008351C0" w:rsidP="008351C0">
      <w:pPr>
        <w:spacing w:after="0"/>
        <w:rPr>
          <w:sz w:val="28"/>
          <w:szCs w:val="28"/>
        </w:rPr>
      </w:pPr>
      <w:r w:rsidRPr="008351C0">
        <w:rPr>
          <w:sz w:val="28"/>
          <w:szCs w:val="28"/>
        </w:rPr>
        <w:t>☐ Keep communication open between all agencies involved.</w:t>
      </w:r>
    </w:p>
    <w:p w14:paraId="49F782FC" w14:textId="77777777" w:rsidR="008351C0" w:rsidRDefault="008351C0" w:rsidP="008351C0">
      <w:pPr>
        <w:spacing w:after="0"/>
        <w:rPr>
          <w:sz w:val="28"/>
          <w:szCs w:val="28"/>
        </w:rPr>
      </w:pPr>
    </w:p>
    <w:p w14:paraId="7FAFC2EF" w14:textId="500AD0C2" w:rsidR="008351C0" w:rsidRDefault="008351C0" w:rsidP="008351C0">
      <w:pPr>
        <w:spacing w:after="0"/>
        <w:rPr>
          <w:sz w:val="28"/>
          <w:szCs w:val="28"/>
        </w:rPr>
      </w:pPr>
      <w:r w:rsidRPr="008351C0">
        <w:rPr>
          <w:sz w:val="28"/>
          <w:szCs w:val="28"/>
        </w:rPr>
        <w:t>Quick Check: Have I connected with all key people supporting this child?</w:t>
      </w:r>
    </w:p>
    <w:p w14:paraId="4BD6C5BD" w14:textId="77777777" w:rsidR="008351C0" w:rsidRPr="008351C0" w:rsidRDefault="008351C0" w:rsidP="008351C0">
      <w:pPr>
        <w:spacing w:after="0"/>
        <w:rPr>
          <w:sz w:val="28"/>
          <w:szCs w:val="28"/>
        </w:rPr>
      </w:pPr>
    </w:p>
    <w:p w14:paraId="14D65957" w14:textId="77777777" w:rsidR="008351C0" w:rsidRPr="008351C0" w:rsidRDefault="008351C0" w:rsidP="008351C0">
      <w:pPr>
        <w:pStyle w:val="Heading2"/>
      </w:pPr>
      <w:r w:rsidRPr="008351C0">
        <w:t>Section 5 – Workload &amp; Burnout Prevention</w:t>
      </w:r>
    </w:p>
    <w:p w14:paraId="7E2E24A9" w14:textId="77777777" w:rsidR="008351C0" w:rsidRPr="008351C0" w:rsidRDefault="008351C0" w:rsidP="008351C0">
      <w:pPr>
        <w:spacing w:after="0"/>
        <w:rPr>
          <w:sz w:val="28"/>
          <w:szCs w:val="28"/>
        </w:rPr>
      </w:pPr>
      <w:r w:rsidRPr="008351C0">
        <w:rPr>
          <w:sz w:val="28"/>
          <w:szCs w:val="28"/>
        </w:rPr>
        <w:t>Mistake: Accepting unmanageable caseloads without speaking up.</w:t>
      </w:r>
    </w:p>
    <w:p w14:paraId="2EF043AB" w14:textId="77777777" w:rsidR="008351C0" w:rsidRDefault="008351C0" w:rsidP="008351C0">
      <w:pPr>
        <w:spacing w:after="0"/>
        <w:rPr>
          <w:sz w:val="28"/>
          <w:szCs w:val="28"/>
        </w:rPr>
      </w:pPr>
    </w:p>
    <w:p w14:paraId="4B41613A" w14:textId="096CD33B" w:rsidR="008351C0" w:rsidRPr="008351C0" w:rsidRDefault="008351C0" w:rsidP="008351C0">
      <w:pPr>
        <w:spacing w:after="0"/>
        <w:rPr>
          <w:sz w:val="28"/>
          <w:szCs w:val="28"/>
        </w:rPr>
      </w:pPr>
      <w:r w:rsidRPr="008351C0">
        <w:rPr>
          <w:sz w:val="28"/>
          <w:szCs w:val="28"/>
        </w:rPr>
        <w:t>✅ Do This Instead:</w:t>
      </w:r>
    </w:p>
    <w:p w14:paraId="263BD566" w14:textId="77777777" w:rsidR="008351C0" w:rsidRPr="008351C0" w:rsidRDefault="008351C0" w:rsidP="008351C0">
      <w:pPr>
        <w:spacing w:after="0"/>
        <w:rPr>
          <w:sz w:val="28"/>
          <w:szCs w:val="28"/>
        </w:rPr>
      </w:pPr>
      <w:r w:rsidRPr="008351C0">
        <w:rPr>
          <w:sz w:val="28"/>
          <w:szCs w:val="28"/>
        </w:rPr>
        <w:t>☐ Track your case numbers and deadlines weekly.</w:t>
      </w:r>
    </w:p>
    <w:p w14:paraId="60767009" w14:textId="77777777" w:rsidR="008351C0" w:rsidRPr="008351C0" w:rsidRDefault="008351C0" w:rsidP="008351C0">
      <w:pPr>
        <w:spacing w:after="0"/>
        <w:rPr>
          <w:sz w:val="28"/>
          <w:szCs w:val="28"/>
        </w:rPr>
      </w:pPr>
      <w:r w:rsidRPr="008351C0">
        <w:rPr>
          <w:sz w:val="28"/>
          <w:szCs w:val="28"/>
        </w:rPr>
        <w:t>☐ Discuss workload limits with your supervisor early, not when you’re overwhelmed.</w:t>
      </w:r>
    </w:p>
    <w:p w14:paraId="3AB4FC23" w14:textId="77777777" w:rsidR="008351C0" w:rsidRPr="008351C0" w:rsidRDefault="008351C0" w:rsidP="008351C0">
      <w:pPr>
        <w:spacing w:after="0"/>
        <w:rPr>
          <w:sz w:val="28"/>
          <w:szCs w:val="28"/>
        </w:rPr>
      </w:pPr>
      <w:r w:rsidRPr="008351C0">
        <w:rPr>
          <w:sz w:val="28"/>
          <w:szCs w:val="28"/>
        </w:rPr>
        <w:t>☐ Use tools like case management software to stay organized.</w:t>
      </w:r>
    </w:p>
    <w:p w14:paraId="4C398FA6" w14:textId="77777777" w:rsidR="008351C0" w:rsidRPr="008351C0" w:rsidRDefault="008351C0" w:rsidP="008351C0">
      <w:pPr>
        <w:spacing w:after="0"/>
        <w:rPr>
          <w:sz w:val="28"/>
          <w:szCs w:val="28"/>
        </w:rPr>
      </w:pPr>
      <w:r w:rsidRPr="008351C0">
        <w:rPr>
          <w:sz w:val="28"/>
          <w:szCs w:val="28"/>
        </w:rPr>
        <w:t>☐ Schedule regular time for self-care and professional reflection.</w:t>
      </w:r>
    </w:p>
    <w:p w14:paraId="43092F5F" w14:textId="77777777" w:rsidR="008351C0" w:rsidRDefault="008351C0" w:rsidP="008351C0">
      <w:pPr>
        <w:spacing w:after="0"/>
        <w:rPr>
          <w:sz w:val="28"/>
          <w:szCs w:val="28"/>
        </w:rPr>
      </w:pPr>
    </w:p>
    <w:p w14:paraId="5748B157" w14:textId="048D7D36" w:rsidR="008351C0" w:rsidRDefault="008351C0" w:rsidP="008351C0">
      <w:pPr>
        <w:spacing w:after="0"/>
        <w:rPr>
          <w:sz w:val="28"/>
          <w:szCs w:val="28"/>
        </w:rPr>
      </w:pPr>
      <w:r w:rsidRPr="008351C0">
        <w:rPr>
          <w:sz w:val="28"/>
          <w:szCs w:val="28"/>
        </w:rPr>
        <w:t>Quick Check: Am I maintaining a manageable workload that allows me to give each case full attention?</w:t>
      </w:r>
    </w:p>
    <w:p w14:paraId="664BC9E6" w14:textId="77777777" w:rsidR="008351C0" w:rsidRPr="008351C0" w:rsidRDefault="008351C0" w:rsidP="008351C0">
      <w:pPr>
        <w:spacing w:after="0"/>
        <w:rPr>
          <w:sz w:val="28"/>
          <w:szCs w:val="28"/>
        </w:rPr>
      </w:pPr>
    </w:p>
    <w:p w14:paraId="1AC82EE0" w14:textId="77777777" w:rsidR="008351C0" w:rsidRPr="008351C0" w:rsidRDefault="008351C0" w:rsidP="008351C0">
      <w:pPr>
        <w:pStyle w:val="Heading2"/>
      </w:pPr>
      <w:r w:rsidRPr="008351C0">
        <w:t>Section 6 – Career Growth &amp; Salary Awareness</w:t>
      </w:r>
    </w:p>
    <w:p w14:paraId="0CBAF9CE" w14:textId="77777777" w:rsidR="008351C0" w:rsidRDefault="008351C0" w:rsidP="008351C0">
      <w:pPr>
        <w:spacing w:after="0"/>
        <w:rPr>
          <w:sz w:val="28"/>
          <w:szCs w:val="28"/>
        </w:rPr>
      </w:pPr>
      <w:r w:rsidRPr="008351C0">
        <w:rPr>
          <w:sz w:val="28"/>
          <w:szCs w:val="28"/>
        </w:rPr>
        <w:t>Mistake: Staying in a role without exploring growth opportunities.</w:t>
      </w:r>
    </w:p>
    <w:p w14:paraId="3C387E1F" w14:textId="77777777" w:rsidR="008351C0" w:rsidRPr="008351C0" w:rsidRDefault="008351C0" w:rsidP="008351C0">
      <w:pPr>
        <w:spacing w:after="0"/>
        <w:rPr>
          <w:sz w:val="28"/>
          <w:szCs w:val="28"/>
        </w:rPr>
      </w:pPr>
    </w:p>
    <w:p w14:paraId="7C0E10AD" w14:textId="77777777" w:rsidR="008351C0" w:rsidRPr="008351C0" w:rsidRDefault="008351C0" w:rsidP="008351C0">
      <w:pPr>
        <w:spacing w:after="0"/>
        <w:rPr>
          <w:sz w:val="28"/>
          <w:szCs w:val="28"/>
        </w:rPr>
      </w:pPr>
      <w:r w:rsidRPr="008351C0">
        <w:rPr>
          <w:sz w:val="28"/>
          <w:szCs w:val="28"/>
        </w:rPr>
        <w:t>✅ Do This Instead:</w:t>
      </w:r>
    </w:p>
    <w:p w14:paraId="42A2A992" w14:textId="77777777" w:rsidR="008351C0" w:rsidRPr="008351C0" w:rsidRDefault="008351C0" w:rsidP="008351C0">
      <w:pPr>
        <w:spacing w:after="0"/>
        <w:rPr>
          <w:sz w:val="28"/>
          <w:szCs w:val="28"/>
        </w:rPr>
      </w:pPr>
      <w:r w:rsidRPr="008351C0">
        <w:rPr>
          <w:sz w:val="28"/>
          <w:szCs w:val="28"/>
        </w:rPr>
        <w:t>☐ Research salary benchmarks for child and family social workers in your area.</w:t>
      </w:r>
    </w:p>
    <w:p w14:paraId="75500F17" w14:textId="77777777" w:rsidR="008351C0" w:rsidRPr="008351C0" w:rsidRDefault="008351C0" w:rsidP="008351C0">
      <w:pPr>
        <w:spacing w:after="0"/>
        <w:rPr>
          <w:sz w:val="28"/>
          <w:szCs w:val="28"/>
        </w:rPr>
      </w:pPr>
      <w:r w:rsidRPr="008351C0">
        <w:rPr>
          <w:sz w:val="28"/>
          <w:szCs w:val="28"/>
        </w:rPr>
        <w:t>☐ Identify specialized training that can lead to higher-paying roles (e.g., child protection, disability services).</w:t>
      </w:r>
    </w:p>
    <w:p w14:paraId="1B5FE962" w14:textId="77777777" w:rsidR="008351C0" w:rsidRPr="008351C0" w:rsidRDefault="008351C0" w:rsidP="008351C0">
      <w:pPr>
        <w:spacing w:after="0"/>
        <w:rPr>
          <w:sz w:val="28"/>
          <w:szCs w:val="28"/>
        </w:rPr>
      </w:pPr>
      <w:r w:rsidRPr="008351C0">
        <w:rPr>
          <w:sz w:val="28"/>
          <w:szCs w:val="28"/>
        </w:rPr>
        <w:t>☐ Network with other social workers to learn about openings in schools, hospitals, or NGOs.</w:t>
      </w:r>
    </w:p>
    <w:p w14:paraId="49890A2D" w14:textId="77777777" w:rsidR="008351C0" w:rsidRPr="008351C0" w:rsidRDefault="008351C0" w:rsidP="008351C0">
      <w:pPr>
        <w:spacing w:after="0"/>
        <w:rPr>
          <w:sz w:val="28"/>
          <w:szCs w:val="28"/>
        </w:rPr>
      </w:pPr>
      <w:r w:rsidRPr="008351C0">
        <w:rPr>
          <w:sz w:val="28"/>
          <w:szCs w:val="28"/>
        </w:rPr>
        <w:t>☐ Keep your résumé updated with measurable achievements.</w:t>
      </w:r>
    </w:p>
    <w:p w14:paraId="76181C9A" w14:textId="77777777" w:rsidR="008351C0" w:rsidRDefault="008351C0" w:rsidP="008351C0">
      <w:pPr>
        <w:spacing w:after="0"/>
        <w:rPr>
          <w:sz w:val="28"/>
          <w:szCs w:val="28"/>
        </w:rPr>
      </w:pPr>
    </w:p>
    <w:p w14:paraId="2A434169" w14:textId="526B368A" w:rsidR="008351C0" w:rsidRPr="008351C0" w:rsidRDefault="008351C0" w:rsidP="008351C0">
      <w:pPr>
        <w:spacing w:after="0"/>
        <w:rPr>
          <w:sz w:val="28"/>
          <w:szCs w:val="28"/>
        </w:rPr>
      </w:pPr>
      <w:r w:rsidRPr="008351C0">
        <w:rPr>
          <w:sz w:val="28"/>
          <w:szCs w:val="28"/>
        </w:rPr>
        <w:t>Quick Check: Am I actively planning my next career step?</w:t>
      </w:r>
    </w:p>
    <w:p w14:paraId="7A3C55A2" w14:textId="77777777" w:rsidR="008351C0" w:rsidRPr="008351C0" w:rsidRDefault="008351C0" w:rsidP="008351C0">
      <w:pPr>
        <w:spacing w:after="0"/>
        <w:rPr>
          <w:sz w:val="28"/>
          <w:szCs w:val="28"/>
        </w:rPr>
      </w:pPr>
    </w:p>
    <w:p w14:paraId="38023D84" w14:textId="439E482A" w:rsidR="008351C0" w:rsidRPr="008351C0" w:rsidRDefault="008351C0" w:rsidP="008351C0">
      <w:pPr>
        <w:pStyle w:val="Heading2"/>
      </w:pPr>
      <w:r w:rsidRPr="008351C0">
        <w:t>Your Personal Commitment Statement</w:t>
      </w:r>
    </w:p>
    <w:p w14:paraId="718B815B" w14:textId="77777777" w:rsidR="008351C0" w:rsidRPr="008351C0" w:rsidRDefault="008351C0" w:rsidP="008351C0">
      <w:pPr>
        <w:spacing w:after="0"/>
        <w:rPr>
          <w:sz w:val="28"/>
          <w:szCs w:val="28"/>
        </w:rPr>
      </w:pPr>
      <w:r w:rsidRPr="008351C0">
        <w:rPr>
          <w:sz w:val="28"/>
          <w:szCs w:val="28"/>
        </w:rPr>
        <w:t>"I commit to building trust first, assessing risk objectively, documenting clearly, collaborating widely, managing my workload, and growing my career intentionally, so I can give every child I work with the safety, support, and opportunity they deserve."</w:t>
      </w:r>
    </w:p>
    <w:p w14:paraId="54597C0D" w14:textId="5E4B37FD" w:rsidR="000A6500" w:rsidRPr="008351C0" w:rsidRDefault="008351C0" w:rsidP="008351C0">
      <w:pPr>
        <w:spacing w:after="0"/>
        <w:rPr>
          <w:sz w:val="28"/>
          <w:szCs w:val="28"/>
        </w:rPr>
      </w:pPr>
      <w:r w:rsidRPr="008351C0">
        <w:rPr>
          <w:sz w:val="28"/>
          <w:szCs w:val="28"/>
        </w:rPr>
        <w:t>Pro Tip: Keep this checklist on your desk or in your case file binder. Review it before tough cases, after home visits, and during supervision sessions to keep your practice focused and effective.</w:t>
      </w:r>
    </w:p>
    <w:p w14:paraId="7EBE01A1" w14:textId="06D04483" w:rsidR="0002148C" w:rsidRPr="000A6500" w:rsidRDefault="00000000" w:rsidP="0002148C">
      <w:pPr>
        <w:jc w:val="center"/>
        <w:rPr>
          <w:sz w:val="32"/>
          <w:szCs w:val="32"/>
        </w:rPr>
      </w:pPr>
      <w:r>
        <w:lastRenderedPageBreak/>
        <w:pict w14:anchorId="5D7C35DB">
          <v:rect id="_x0000_i1028" style="width:0;height:1.5pt" o:hralign="center" o:hrstd="t" o:hr="t" fillcolor="#a0a0a0" stroked="f"/>
        </w:pict>
      </w:r>
      <w:r w:rsidR="0002148C" w:rsidRPr="000A6500">
        <w:rPr>
          <w:sz w:val="32"/>
          <w:szCs w:val="32"/>
        </w:rPr>
        <w:t xml:space="preserve">View our website for more helpful guides: </w:t>
      </w:r>
      <w:hyperlink r:id="rId6" w:history="1">
        <w:r w:rsidR="0002148C" w:rsidRPr="000A6500">
          <w:rPr>
            <w:rStyle w:val="Hyperlink"/>
            <w:sz w:val="32"/>
            <w:szCs w:val="32"/>
          </w:rPr>
          <w:t>https://www.socialworkportal.com/</w:t>
        </w:r>
      </w:hyperlink>
      <w:r>
        <w:pict w14:anchorId="62F5B291">
          <v:rect id="_x0000_i1029" style="width:0;height:1.5pt" o:hralign="center" o:hrstd="t" o:hr="t" fillcolor="#a0a0a0" stroked="f"/>
        </w:pict>
      </w:r>
    </w:p>
    <w:p w14:paraId="4E24524A" w14:textId="77777777" w:rsidR="00081DBA" w:rsidRDefault="00081DBA"/>
    <w:sectPr w:rsidR="0008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47" style="width:0;height:1.5pt" o:hralign="center" o:bullet="t" o:hrstd="t" o:hr="t" fillcolor="#a0a0a0" stroked="f"/>
    </w:pict>
  </w:numPicBullet>
  <w:abstractNum w:abstractNumId="0" w15:restartNumberingAfterBreak="0">
    <w:nsid w:val="145A7630"/>
    <w:multiLevelType w:val="multilevel"/>
    <w:tmpl w:val="BD30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341"/>
    <w:multiLevelType w:val="multilevel"/>
    <w:tmpl w:val="6E6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5A47"/>
    <w:multiLevelType w:val="multilevel"/>
    <w:tmpl w:val="3FB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37C4E"/>
    <w:multiLevelType w:val="multilevel"/>
    <w:tmpl w:val="09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F738A"/>
    <w:multiLevelType w:val="multilevel"/>
    <w:tmpl w:val="8A3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402B3"/>
    <w:multiLevelType w:val="multilevel"/>
    <w:tmpl w:val="6D8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6152A"/>
    <w:multiLevelType w:val="multilevel"/>
    <w:tmpl w:val="1E5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15244"/>
    <w:multiLevelType w:val="multilevel"/>
    <w:tmpl w:val="886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5044E"/>
    <w:multiLevelType w:val="multilevel"/>
    <w:tmpl w:val="889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61124"/>
    <w:multiLevelType w:val="multilevel"/>
    <w:tmpl w:val="A52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5386D"/>
    <w:multiLevelType w:val="multilevel"/>
    <w:tmpl w:val="D6B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A1D66"/>
    <w:multiLevelType w:val="multilevel"/>
    <w:tmpl w:val="2CCA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039378">
    <w:abstractNumId w:val="11"/>
  </w:num>
  <w:num w:numId="2" w16cid:durableId="1084032365">
    <w:abstractNumId w:val="1"/>
  </w:num>
  <w:num w:numId="3" w16cid:durableId="1213806683">
    <w:abstractNumId w:val="9"/>
  </w:num>
  <w:num w:numId="4" w16cid:durableId="1172917730">
    <w:abstractNumId w:val="4"/>
  </w:num>
  <w:num w:numId="5" w16cid:durableId="110130525">
    <w:abstractNumId w:val="3"/>
  </w:num>
  <w:num w:numId="6" w16cid:durableId="1543709641">
    <w:abstractNumId w:val="8"/>
  </w:num>
  <w:num w:numId="7" w16cid:durableId="98138955">
    <w:abstractNumId w:val="0"/>
  </w:num>
  <w:num w:numId="8" w16cid:durableId="461463887">
    <w:abstractNumId w:val="7"/>
  </w:num>
  <w:num w:numId="9" w16cid:durableId="456029052">
    <w:abstractNumId w:val="10"/>
  </w:num>
  <w:num w:numId="10" w16cid:durableId="1410080464">
    <w:abstractNumId w:val="2"/>
  </w:num>
  <w:num w:numId="11" w16cid:durableId="1020624332">
    <w:abstractNumId w:val="6"/>
  </w:num>
  <w:num w:numId="12" w16cid:durableId="57019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TU1NzEwNzYyM7dQ0lEKTi0uzszPAykwrAUAuLFZniwAAAA="/>
  </w:docVars>
  <w:rsids>
    <w:rsidRoot w:val="00755C62"/>
    <w:rsid w:val="0002148C"/>
    <w:rsid w:val="00081DBA"/>
    <w:rsid w:val="00093C1D"/>
    <w:rsid w:val="000A6500"/>
    <w:rsid w:val="000C775F"/>
    <w:rsid w:val="001E68B4"/>
    <w:rsid w:val="00324A2A"/>
    <w:rsid w:val="00364FCF"/>
    <w:rsid w:val="00372B43"/>
    <w:rsid w:val="003E18E0"/>
    <w:rsid w:val="0043027F"/>
    <w:rsid w:val="004B60AA"/>
    <w:rsid w:val="004C4822"/>
    <w:rsid w:val="005B0450"/>
    <w:rsid w:val="006E3A6F"/>
    <w:rsid w:val="00755C62"/>
    <w:rsid w:val="00792A95"/>
    <w:rsid w:val="0079345D"/>
    <w:rsid w:val="008351C0"/>
    <w:rsid w:val="009C236D"/>
    <w:rsid w:val="00A979BF"/>
    <w:rsid w:val="00AE35D3"/>
    <w:rsid w:val="00B739F4"/>
    <w:rsid w:val="00B869E2"/>
    <w:rsid w:val="00C9648C"/>
    <w:rsid w:val="00CA0231"/>
    <w:rsid w:val="00CE2172"/>
    <w:rsid w:val="00E13AFA"/>
    <w:rsid w:val="00F2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F2D0"/>
  <w15:chartTrackingRefBased/>
  <w15:docId w15:val="{EA1F4A98-5495-4083-A46A-06211414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8C"/>
  </w:style>
  <w:style w:type="paragraph" w:styleId="Heading1">
    <w:name w:val="heading 1"/>
    <w:basedOn w:val="Normal"/>
    <w:next w:val="Normal"/>
    <w:link w:val="Heading1Char"/>
    <w:uiPriority w:val="9"/>
    <w:qFormat/>
    <w:rsid w:val="0075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51C0"/>
    <w:pPr>
      <w:keepNext/>
      <w:keepLines/>
      <w:spacing w:before="160" w:after="12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755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51C0"/>
    <w:rPr>
      <w:rFonts w:asciiTheme="majorHAnsi" w:eastAsiaTheme="majorEastAsia" w:hAnsiTheme="majorHAnsi" w:cstheme="majorBidi"/>
      <w:b/>
      <w:bCs/>
      <w:color w:val="0F4761" w:themeColor="accent1" w:themeShade="BF"/>
      <w:sz w:val="32"/>
      <w:szCs w:val="32"/>
    </w:rPr>
  </w:style>
  <w:style w:type="character" w:customStyle="1" w:styleId="Heading3Char">
    <w:name w:val="Heading 3 Char"/>
    <w:basedOn w:val="DefaultParagraphFont"/>
    <w:link w:val="Heading3"/>
    <w:uiPriority w:val="9"/>
    <w:semiHidden/>
    <w:rsid w:val="00755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62"/>
    <w:rPr>
      <w:rFonts w:eastAsiaTheme="majorEastAsia" w:cstheme="majorBidi"/>
      <w:color w:val="272727" w:themeColor="text1" w:themeTint="D8"/>
    </w:rPr>
  </w:style>
  <w:style w:type="paragraph" w:styleId="Title">
    <w:name w:val="Title"/>
    <w:basedOn w:val="Normal"/>
    <w:next w:val="Normal"/>
    <w:link w:val="TitleChar"/>
    <w:uiPriority w:val="10"/>
    <w:qFormat/>
    <w:rsid w:val="0075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62"/>
    <w:pPr>
      <w:spacing w:before="160"/>
      <w:jc w:val="center"/>
    </w:pPr>
    <w:rPr>
      <w:i/>
      <w:iCs/>
      <w:color w:val="404040" w:themeColor="text1" w:themeTint="BF"/>
    </w:rPr>
  </w:style>
  <w:style w:type="character" w:customStyle="1" w:styleId="QuoteChar">
    <w:name w:val="Quote Char"/>
    <w:basedOn w:val="DefaultParagraphFont"/>
    <w:link w:val="Quote"/>
    <w:uiPriority w:val="29"/>
    <w:rsid w:val="00755C62"/>
    <w:rPr>
      <w:i/>
      <w:iCs/>
      <w:color w:val="404040" w:themeColor="text1" w:themeTint="BF"/>
    </w:rPr>
  </w:style>
  <w:style w:type="paragraph" w:styleId="ListParagraph">
    <w:name w:val="List Paragraph"/>
    <w:basedOn w:val="Normal"/>
    <w:uiPriority w:val="34"/>
    <w:qFormat/>
    <w:rsid w:val="00755C62"/>
    <w:pPr>
      <w:ind w:left="720"/>
      <w:contextualSpacing/>
    </w:pPr>
  </w:style>
  <w:style w:type="character" w:styleId="IntenseEmphasis">
    <w:name w:val="Intense Emphasis"/>
    <w:basedOn w:val="DefaultParagraphFont"/>
    <w:uiPriority w:val="21"/>
    <w:qFormat/>
    <w:rsid w:val="00755C62"/>
    <w:rPr>
      <w:i/>
      <w:iCs/>
      <w:color w:val="0F4761" w:themeColor="accent1" w:themeShade="BF"/>
    </w:rPr>
  </w:style>
  <w:style w:type="paragraph" w:styleId="IntenseQuote">
    <w:name w:val="Intense Quote"/>
    <w:basedOn w:val="Normal"/>
    <w:next w:val="Normal"/>
    <w:link w:val="IntenseQuoteChar"/>
    <w:uiPriority w:val="30"/>
    <w:qFormat/>
    <w:rsid w:val="0075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62"/>
    <w:rPr>
      <w:i/>
      <w:iCs/>
      <w:color w:val="0F4761" w:themeColor="accent1" w:themeShade="BF"/>
    </w:rPr>
  </w:style>
  <w:style w:type="character" w:styleId="IntenseReference">
    <w:name w:val="Intense Reference"/>
    <w:basedOn w:val="DefaultParagraphFont"/>
    <w:uiPriority w:val="32"/>
    <w:qFormat/>
    <w:rsid w:val="00755C62"/>
    <w:rPr>
      <w:b/>
      <w:bCs/>
      <w:smallCaps/>
      <w:color w:val="0F4761" w:themeColor="accent1" w:themeShade="BF"/>
      <w:spacing w:val="5"/>
    </w:rPr>
  </w:style>
  <w:style w:type="character" w:styleId="Hyperlink">
    <w:name w:val="Hyperlink"/>
    <w:basedOn w:val="DefaultParagraphFont"/>
    <w:uiPriority w:val="99"/>
    <w:unhideWhenUsed/>
    <w:rsid w:val="0002148C"/>
    <w:rPr>
      <w:color w:val="0000FF"/>
      <w:u w:val="single"/>
    </w:rPr>
  </w:style>
  <w:style w:type="table" w:styleId="TableGrid">
    <w:name w:val="Table Grid"/>
    <w:basedOn w:val="TableNormal"/>
    <w:uiPriority w:val="59"/>
    <w:rsid w:val="000A6500"/>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2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workporta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Airiodion, Ogbe (Contractor)</dc:creator>
  <cp:keywords/>
  <dc:description/>
  <cp:lastModifiedBy>Ogbe Airiodion</cp:lastModifiedBy>
  <cp:revision>19</cp:revision>
  <dcterms:created xsi:type="dcterms:W3CDTF">2025-01-19T23:12:00Z</dcterms:created>
  <dcterms:modified xsi:type="dcterms:W3CDTF">2025-08-08T23:15:00Z</dcterms:modified>
</cp:coreProperties>
</file>