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E758" w14:textId="5AC7A5C2" w:rsidR="0002148C" w:rsidRPr="00CE2172" w:rsidRDefault="00CE2172" w:rsidP="00CE2172">
      <w:pPr>
        <w:jc w:val="center"/>
      </w:pPr>
      <w:r>
        <w:rPr>
          <w:noProof/>
        </w:rPr>
        <w:drawing>
          <wp:inline distT="0" distB="0" distL="0" distR="0" wp14:anchorId="4E47606A" wp14:editId="382EF0CC">
            <wp:extent cx="4365266" cy="647794"/>
            <wp:effectExtent l="0" t="0" r="0" b="0"/>
            <wp:docPr id="1570161164" name="Picture 1" descr="A black background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61164" name="Picture 1" descr="A black background with white letter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379" cy="65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E9C4F" w14:textId="0AEF4038" w:rsidR="00093C1D" w:rsidRPr="00093C1D" w:rsidRDefault="00093C1D" w:rsidP="0002148C">
      <w:pPr>
        <w:jc w:val="center"/>
        <w:rPr>
          <w:b/>
          <w:bCs/>
          <w:color w:val="074F6A" w:themeColor="accent4" w:themeShade="80"/>
          <w:sz w:val="40"/>
          <w:szCs w:val="40"/>
        </w:rPr>
      </w:pPr>
      <w:hyperlink r:id="rId6" w:history="1">
        <w:r w:rsidRPr="00093C1D">
          <w:rPr>
            <w:rStyle w:val="Hyperlink"/>
            <w:sz w:val="28"/>
            <w:szCs w:val="28"/>
          </w:rPr>
          <w:t>https://www.socialworkportal.com/</w:t>
        </w:r>
      </w:hyperlink>
    </w:p>
    <w:p w14:paraId="7C4DE06E" w14:textId="47AA1DCD" w:rsidR="0002148C" w:rsidRDefault="00000000" w:rsidP="0002148C">
      <w:pPr>
        <w:jc w:val="center"/>
        <w:rPr>
          <w:b/>
          <w:bCs/>
          <w:color w:val="074F6A" w:themeColor="accent4" w:themeShade="80"/>
          <w:sz w:val="56"/>
          <w:szCs w:val="56"/>
        </w:rPr>
      </w:pPr>
      <w:r>
        <w:pict w14:anchorId="1A86FD24">
          <v:rect id="_x0000_i1025" style="width:0;height:1.5pt" o:hralign="center" o:hrstd="t" o:hr="t" fillcolor="#a0a0a0" stroked="f"/>
        </w:pict>
      </w:r>
      <w:r w:rsidR="0002148C" w:rsidRPr="003945E9">
        <w:rPr>
          <w:b/>
          <w:bCs/>
          <w:color w:val="074F6A" w:themeColor="accent4" w:themeShade="80"/>
          <w:sz w:val="56"/>
          <w:szCs w:val="56"/>
        </w:rPr>
        <w:t>Checklist</w:t>
      </w:r>
    </w:p>
    <w:p w14:paraId="06E9DC1D" w14:textId="4A77D3B9" w:rsidR="0002148C" w:rsidRDefault="006E2097" w:rsidP="0002148C">
      <w:r w:rsidRPr="006E2097">
        <w:rPr>
          <w:b/>
          <w:bCs/>
          <w:color w:val="074F6A" w:themeColor="accent4" w:themeShade="80"/>
          <w:sz w:val="48"/>
          <w:szCs w:val="48"/>
        </w:rPr>
        <w:t>Best Social Work Advocacy Checklist</w:t>
      </w:r>
      <w:r w:rsidR="00000000">
        <w:pict w14:anchorId="0E944CB6">
          <v:rect id="_x0000_i1026" style="width:0;height:1.5pt" o:hralign="center" o:hrstd="t" o:hr="t" fillcolor="#a0a0a0" stroked="f"/>
        </w:pict>
      </w:r>
    </w:p>
    <w:p w14:paraId="2F23A012" w14:textId="77777777" w:rsidR="006E2097" w:rsidRPr="009032A8" w:rsidRDefault="006E2097" w:rsidP="006E2097">
      <w:pPr>
        <w:spacing w:line="278" w:lineRule="auto"/>
      </w:pPr>
      <w:r w:rsidRPr="009032A8">
        <w:t>To effectively navigate the advocacy process, use this checklist as your guide. Remember, successful advocacy is often a strategic and persistent endeavor.</w:t>
      </w:r>
    </w:p>
    <w:p w14:paraId="04C0B1C7" w14:textId="77777777" w:rsidR="006E2097" w:rsidRPr="009032A8" w:rsidRDefault="006E2097" w:rsidP="006E2097">
      <w:pPr>
        <w:spacing w:line="278" w:lineRule="auto"/>
      </w:pPr>
      <w:r w:rsidRPr="009032A8">
        <w:rPr>
          <w:b/>
          <w:bCs/>
        </w:rPr>
        <w:t>Phase 1: Preparation &amp; Understanding</w:t>
      </w:r>
    </w:p>
    <w:p w14:paraId="6F70CD99" w14:textId="77777777" w:rsidR="006E2097" w:rsidRPr="009032A8" w:rsidRDefault="006E2097" w:rsidP="006E2097">
      <w:pPr>
        <w:numPr>
          <w:ilvl w:val="0"/>
          <w:numId w:val="13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Clearly identify the client's/community's needs and the specific issue requiring advocacy.</w:t>
      </w:r>
    </w:p>
    <w:p w14:paraId="558C4A29" w14:textId="77777777" w:rsidR="006E2097" w:rsidRPr="009032A8" w:rsidRDefault="006E2097" w:rsidP="006E2097">
      <w:pPr>
        <w:numPr>
          <w:ilvl w:val="0"/>
          <w:numId w:val="13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Understand the client's goals and desired outcomes for advocacy.</w:t>
      </w:r>
    </w:p>
    <w:p w14:paraId="0205F02C" w14:textId="77777777" w:rsidR="006E2097" w:rsidRPr="009032A8" w:rsidRDefault="006E2097" w:rsidP="006E2097">
      <w:pPr>
        <w:numPr>
          <w:ilvl w:val="0"/>
          <w:numId w:val="13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Research relevant policies, laws, or regulations pertaining to the issue.</w:t>
      </w:r>
    </w:p>
    <w:p w14:paraId="38DB8354" w14:textId="77777777" w:rsidR="006E2097" w:rsidRPr="009032A8" w:rsidRDefault="006E2097" w:rsidP="006E2097">
      <w:pPr>
        <w:numPr>
          <w:ilvl w:val="0"/>
          <w:numId w:val="13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Gather all necessary documentation, evidence, and support materials (e.g., medical records, denial letters, testimonials).</w:t>
      </w:r>
    </w:p>
    <w:p w14:paraId="584A01F6" w14:textId="77777777" w:rsidR="006E2097" w:rsidRPr="009032A8" w:rsidRDefault="006E2097" w:rsidP="006E2097">
      <w:pPr>
        <w:numPr>
          <w:ilvl w:val="0"/>
          <w:numId w:val="13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Identify the decision-makers or stakeholders who have the power to influence the outcome.</w:t>
      </w:r>
    </w:p>
    <w:p w14:paraId="2A3A200C" w14:textId="77777777" w:rsidR="006E2097" w:rsidRPr="009032A8" w:rsidRDefault="006E2097" w:rsidP="006E2097">
      <w:pPr>
        <w:numPr>
          <w:ilvl w:val="0"/>
          <w:numId w:val="13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Understand the power dynamics and potential barriers to advocacy.</w:t>
      </w:r>
    </w:p>
    <w:p w14:paraId="12EC327F" w14:textId="77777777" w:rsidR="006E2097" w:rsidRPr="009032A8" w:rsidRDefault="006E2097" w:rsidP="006E2097">
      <w:pPr>
        <w:numPr>
          <w:ilvl w:val="0"/>
          <w:numId w:val="13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Identify potential allies or collaborators (e.g., other professionals, community groups, family members).</w:t>
      </w:r>
    </w:p>
    <w:p w14:paraId="0A59E637" w14:textId="77777777" w:rsidR="006E2097" w:rsidRPr="009032A8" w:rsidRDefault="006E2097" w:rsidP="006E2097">
      <w:pPr>
        <w:spacing w:line="278" w:lineRule="auto"/>
      </w:pPr>
      <w:r w:rsidRPr="009032A8">
        <w:rPr>
          <w:b/>
          <w:bCs/>
        </w:rPr>
        <w:t>Phase 2: Strategy Development</w:t>
      </w:r>
    </w:p>
    <w:p w14:paraId="35E188AC" w14:textId="77777777" w:rsidR="006E2097" w:rsidRPr="009032A8" w:rsidRDefault="006E2097" w:rsidP="006E2097">
      <w:pPr>
        <w:numPr>
          <w:ilvl w:val="0"/>
          <w:numId w:val="14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Define your advocacy objectives: What specifically do you want to achieve?</w:t>
      </w:r>
    </w:p>
    <w:p w14:paraId="28450D45" w14:textId="77777777" w:rsidR="006E2097" w:rsidRPr="009032A8" w:rsidRDefault="006E2097" w:rsidP="006E2097">
      <w:pPr>
        <w:numPr>
          <w:ilvl w:val="0"/>
          <w:numId w:val="14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Develop a clear, concise, and compelling message or argument.</w:t>
      </w:r>
    </w:p>
    <w:p w14:paraId="7C1AE149" w14:textId="77777777" w:rsidR="006E2097" w:rsidRPr="009032A8" w:rsidRDefault="006E2097" w:rsidP="006E2097">
      <w:pPr>
        <w:numPr>
          <w:ilvl w:val="0"/>
          <w:numId w:val="14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Determine the most appropriate advocacy approach (e.g., direct communication, formal appeal, public awareness campaign, legislative lobbying).</w:t>
      </w:r>
    </w:p>
    <w:p w14:paraId="2E41A9D4" w14:textId="77777777" w:rsidR="006E2097" w:rsidRPr="009032A8" w:rsidRDefault="006E2097" w:rsidP="006E2097">
      <w:pPr>
        <w:numPr>
          <w:ilvl w:val="0"/>
          <w:numId w:val="14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Outline specific action steps and a timeline for your advocacy efforts.</w:t>
      </w:r>
    </w:p>
    <w:p w14:paraId="281CEAAE" w14:textId="77777777" w:rsidR="006E2097" w:rsidRPr="009032A8" w:rsidRDefault="006E2097" w:rsidP="006E2097">
      <w:pPr>
        <w:numPr>
          <w:ilvl w:val="0"/>
          <w:numId w:val="14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Prepare for potential resistance or opposition and develop contingency plans.</w:t>
      </w:r>
    </w:p>
    <w:p w14:paraId="7863E5AE" w14:textId="77777777" w:rsidR="006E2097" w:rsidRPr="009032A8" w:rsidRDefault="006E2097" w:rsidP="006E2097">
      <w:pPr>
        <w:numPr>
          <w:ilvl w:val="0"/>
          <w:numId w:val="14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Identify any ethical considerations or potential conflicts of interest.</w:t>
      </w:r>
    </w:p>
    <w:p w14:paraId="2B6F4790" w14:textId="77777777" w:rsidR="006E2097" w:rsidRPr="009032A8" w:rsidRDefault="006E2097" w:rsidP="006E2097">
      <w:pPr>
        <w:spacing w:line="278" w:lineRule="auto"/>
      </w:pPr>
      <w:r w:rsidRPr="009032A8">
        <w:rPr>
          <w:b/>
          <w:bCs/>
        </w:rPr>
        <w:lastRenderedPageBreak/>
        <w:t>Phase 3: Implementation</w:t>
      </w:r>
    </w:p>
    <w:p w14:paraId="671922D2" w14:textId="77777777" w:rsidR="006E2097" w:rsidRPr="009032A8" w:rsidRDefault="006E2097" w:rsidP="006E2097">
      <w:pPr>
        <w:numPr>
          <w:ilvl w:val="0"/>
          <w:numId w:val="15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Initiate communication with relevant parties (e.g., phone calls, letters, emails, meetings).</w:t>
      </w:r>
    </w:p>
    <w:p w14:paraId="4A59C561" w14:textId="77777777" w:rsidR="006E2097" w:rsidRPr="009032A8" w:rsidRDefault="006E2097" w:rsidP="006E2097">
      <w:pPr>
        <w:numPr>
          <w:ilvl w:val="0"/>
          <w:numId w:val="15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Present your case clearly and professionally, using evidence to support your claims.</w:t>
      </w:r>
    </w:p>
    <w:p w14:paraId="70F5F413" w14:textId="77777777" w:rsidR="006E2097" w:rsidRPr="009032A8" w:rsidRDefault="006E2097" w:rsidP="006E2097">
      <w:pPr>
        <w:numPr>
          <w:ilvl w:val="0"/>
          <w:numId w:val="15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Maintain a professional and respectful demeanor, even when faced with challenges.</w:t>
      </w:r>
    </w:p>
    <w:p w14:paraId="26A174F0" w14:textId="77777777" w:rsidR="006E2097" w:rsidRPr="009032A8" w:rsidRDefault="006E2097" w:rsidP="006E2097">
      <w:pPr>
        <w:numPr>
          <w:ilvl w:val="0"/>
          <w:numId w:val="15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Actively listen to the other party's perspective and concerns.</w:t>
      </w:r>
    </w:p>
    <w:p w14:paraId="1B0FF4BB" w14:textId="77777777" w:rsidR="006E2097" w:rsidRPr="009032A8" w:rsidRDefault="006E2097" w:rsidP="006E2097">
      <w:pPr>
        <w:numPr>
          <w:ilvl w:val="0"/>
          <w:numId w:val="15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Negotiate and explore potential compromises, if appropriate.</w:t>
      </w:r>
    </w:p>
    <w:p w14:paraId="4E2C5FBB" w14:textId="77777777" w:rsidR="006E2097" w:rsidRPr="009032A8" w:rsidRDefault="006E2097" w:rsidP="006E2097">
      <w:pPr>
        <w:numPr>
          <w:ilvl w:val="0"/>
          <w:numId w:val="15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Document all communication, meetings, and actions taken (dates, times, names, key points discussed).</w:t>
      </w:r>
    </w:p>
    <w:p w14:paraId="176172CF" w14:textId="77777777" w:rsidR="006E2097" w:rsidRPr="009032A8" w:rsidRDefault="006E2097" w:rsidP="006E2097">
      <w:pPr>
        <w:numPr>
          <w:ilvl w:val="0"/>
          <w:numId w:val="15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Follow up consistently and persistently.</w:t>
      </w:r>
    </w:p>
    <w:p w14:paraId="107E3BEE" w14:textId="77777777" w:rsidR="006E2097" w:rsidRPr="009032A8" w:rsidRDefault="006E2097" w:rsidP="006E2097">
      <w:pPr>
        <w:spacing w:line="278" w:lineRule="auto"/>
      </w:pPr>
      <w:r w:rsidRPr="009032A8">
        <w:rPr>
          <w:b/>
          <w:bCs/>
        </w:rPr>
        <w:t>Phase 4: Evaluation &amp; Follow-Up</w:t>
      </w:r>
    </w:p>
    <w:p w14:paraId="55CDCCF0" w14:textId="77777777" w:rsidR="006E2097" w:rsidRPr="009032A8" w:rsidRDefault="006E2097" w:rsidP="006E2097">
      <w:pPr>
        <w:numPr>
          <w:ilvl w:val="0"/>
          <w:numId w:val="16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Assess whether your advocacy objectives have been met.</w:t>
      </w:r>
    </w:p>
    <w:p w14:paraId="533BE4DC" w14:textId="77777777" w:rsidR="006E2097" w:rsidRPr="009032A8" w:rsidRDefault="006E2097" w:rsidP="006E2097">
      <w:pPr>
        <w:numPr>
          <w:ilvl w:val="0"/>
          <w:numId w:val="16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Document the outcome of the advocacy efforts.</w:t>
      </w:r>
    </w:p>
    <w:p w14:paraId="3BC7A550" w14:textId="77777777" w:rsidR="006E2097" w:rsidRPr="009032A8" w:rsidRDefault="006E2097" w:rsidP="006E2097">
      <w:pPr>
        <w:numPr>
          <w:ilvl w:val="0"/>
          <w:numId w:val="16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If successful, ensure the client/community receives the benefits or changes they </w:t>
      </w:r>
      <w:proofErr w:type="gramStart"/>
      <w:r w:rsidRPr="009032A8">
        <w:t>advocated</w:t>
      </w:r>
      <w:proofErr w:type="gramEnd"/>
      <w:r w:rsidRPr="009032A8">
        <w:t xml:space="preserve"> for.</w:t>
      </w:r>
    </w:p>
    <w:p w14:paraId="751DBC49" w14:textId="77777777" w:rsidR="006E2097" w:rsidRPr="009032A8" w:rsidRDefault="006E2097" w:rsidP="006E2097">
      <w:pPr>
        <w:numPr>
          <w:ilvl w:val="0"/>
          <w:numId w:val="16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If unsuccessful, analyze what went wrong and identify alternative strategies or next steps.</w:t>
      </w:r>
    </w:p>
    <w:p w14:paraId="10CD2EA3" w14:textId="77777777" w:rsidR="006E2097" w:rsidRPr="009032A8" w:rsidRDefault="006E2097" w:rsidP="006E2097">
      <w:pPr>
        <w:numPr>
          <w:ilvl w:val="0"/>
          <w:numId w:val="16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Provide emotional support and debrief with the client/community.</w:t>
      </w:r>
    </w:p>
    <w:p w14:paraId="56867ADE" w14:textId="5D1E8280" w:rsidR="00C9648C" w:rsidRPr="006E2097" w:rsidRDefault="006E2097" w:rsidP="006E2097">
      <w:pPr>
        <w:numPr>
          <w:ilvl w:val="0"/>
          <w:numId w:val="16"/>
        </w:numPr>
        <w:spacing w:line="278" w:lineRule="auto"/>
      </w:pPr>
      <w:proofErr w:type="gramStart"/>
      <w:r w:rsidRPr="009032A8">
        <w:t>[ ]</w:t>
      </w:r>
      <w:proofErr w:type="gramEnd"/>
      <w:r w:rsidRPr="009032A8">
        <w:t xml:space="preserve"> Learn from the experience to inform future advocacy efforts.</w:t>
      </w:r>
    </w:p>
    <w:p w14:paraId="54597C0D" w14:textId="77777777" w:rsidR="000A6500" w:rsidRPr="000A6500" w:rsidRDefault="000A6500" w:rsidP="000A6500">
      <w:pPr>
        <w:spacing w:after="200" w:line="276" w:lineRule="auto"/>
        <w:contextualSpacing/>
        <w:rPr>
          <w:rFonts w:ascii="Cambria" w:eastAsia="MS Mincho" w:hAnsi="Cambria" w:cs="Times New Roman"/>
          <w:kern w:val="0"/>
          <w14:ligatures w14:val="none"/>
        </w:rPr>
      </w:pPr>
    </w:p>
    <w:p w14:paraId="7EBE01A1" w14:textId="06D04483" w:rsidR="0002148C" w:rsidRPr="000A6500" w:rsidRDefault="00000000" w:rsidP="0002148C">
      <w:pPr>
        <w:jc w:val="center"/>
        <w:rPr>
          <w:sz w:val="32"/>
          <w:szCs w:val="32"/>
        </w:rPr>
      </w:pPr>
      <w:r>
        <w:pict w14:anchorId="5D7C35DB">
          <v:rect id="_x0000_i1027" style="width:0;height:1.5pt" o:hralign="center" o:hrstd="t" o:hr="t" fillcolor="#a0a0a0" stroked="f"/>
        </w:pict>
      </w:r>
      <w:r w:rsidR="0002148C" w:rsidRPr="000A6500">
        <w:rPr>
          <w:sz w:val="32"/>
          <w:szCs w:val="32"/>
        </w:rPr>
        <w:t xml:space="preserve">View our website for more helpful guides: </w:t>
      </w:r>
      <w:hyperlink r:id="rId7" w:history="1">
        <w:r w:rsidR="0002148C" w:rsidRPr="000A6500">
          <w:rPr>
            <w:rStyle w:val="Hyperlink"/>
            <w:sz w:val="32"/>
            <w:szCs w:val="32"/>
          </w:rPr>
          <w:t>https://www.socialworkportal.com/</w:t>
        </w:r>
      </w:hyperlink>
      <w:r>
        <w:pict w14:anchorId="62F5B291">
          <v:rect id="_x0000_i1028" style="width:0;height:1.5pt" o:hralign="center" o:hrstd="t" o:hr="t" fillcolor="#a0a0a0" stroked="f"/>
        </w:pict>
      </w:r>
    </w:p>
    <w:p w14:paraId="4E24524A" w14:textId="77777777" w:rsidR="00081DBA" w:rsidRDefault="00081DBA"/>
    <w:sectPr w:rsidR="00081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B3556"/>
    <w:multiLevelType w:val="multilevel"/>
    <w:tmpl w:val="DA46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A7630"/>
    <w:multiLevelType w:val="multilevel"/>
    <w:tmpl w:val="BD30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A2DEB"/>
    <w:multiLevelType w:val="multilevel"/>
    <w:tmpl w:val="90A8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F5341"/>
    <w:multiLevelType w:val="multilevel"/>
    <w:tmpl w:val="6E64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85A47"/>
    <w:multiLevelType w:val="multilevel"/>
    <w:tmpl w:val="3FBE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37C4E"/>
    <w:multiLevelType w:val="multilevel"/>
    <w:tmpl w:val="0908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15496"/>
    <w:multiLevelType w:val="multilevel"/>
    <w:tmpl w:val="86DC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BF738A"/>
    <w:multiLevelType w:val="multilevel"/>
    <w:tmpl w:val="8A3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B402B3"/>
    <w:multiLevelType w:val="multilevel"/>
    <w:tmpl w:val="6D8C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6152A"/>
    <w:multiLevelType w:val="multilevel"/>
    <w:tmpl w:val="1E5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415244"/>
    <w:multiLevelType w:val="multilevel"/>
    <w:tmpl w:val="8864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5044E"/>
    <w:multiLevelType w:val="multilevel"/>
    <w:tmpl w:val="889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A61124"/>
    <w:multiLevelType w:val="multilevel"/>
    <w:tmpl w:val="A52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35386D"/>
    <w:multiLevelType w:val="multilevel"/>
    <w:tmpl w:val="D6B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100033"/>
    <w:multiLevelType w:val="multilevel"/>
    <w:tmpl w:val="A20A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A1D66"/>
    <w:multiLevelType w:val="multilevel"/>
    <w:tmpl w:val="2CCA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039378">
    <w:abstractNumId w:val="15"/>
  </w:num>
  <w:num w:numId="2" w16cid:durableId="1084032365">
    <w:abstractNumId w:val="3"/>
  </w:num>
  <w:num w:numId="3" w16cid:durableId="1213806683">
    <w:abstractNumId w:val="12"/>
  </w:num>
  <w:num w:numId="4" w16cid:durableId="1172917730">
    <w:abstractNumId w:val="7"/>
  </w:num>
  <w:num w:numId="5" w16cid:durableId="110130525">
    <w:abstractNumId w:val="5"/>
  </w:num>
  <w:num w:numId="6" w16cid:durableId="1543709641">
    <w:abstractNumId w:val="11"/>
  </w:num>
  <w:num w:numId="7" w16cid:durableId="98138955">
    <w:abstractNumId w:val="1"/>
  </w:num>
  <w:num w:numId="8" w16cid:durableId="461463887">
    <w:abstractNumId w:val="10"/>
  </w:num>
  <w:num w:numId="9" w16cid:durableId="456029052">
    <w:abstractNumId w:val="13"/>
  </w:num>
  <w:num w:numId="10" w16cid:durableId="1410080464">
    <w:abstractNumId w:val="4"/>
  </w:num>
  <w:num w:numId="11" w16cid:durableId="1020624332">
    <w:abstractNumId w:val="9"/>
  </w:num>
  <w:num w:numId="12" w16cid:durableId="570192608">
    <w:abstractNumId w:val="8"/>
  </w:num>
  <w:num w:numId="13" w16cid:durableId="332148503">
    <w:abstractNumId w:val="0"/>
  </w:num>
  <w:num w:numId="14" w16cid:durableId="531498808">
    <w:abstractNumId w:val="6"/>
  </w:num>
  <w:num w:numId="15" w16cid:durableId="1332875453">
    <w:abstractNumId w:val="2"/>
  </w:num>
  <w:num w:numId="16" w16cid:durableId="16384857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wNTU1NzEwNzYyM7dQ0lEKTi0uzszPAykwrAUAuLFZniwAAAA="/>
  </w:docVars>
  <w:rsids>
    <w:rsidRoot w:val="00755C62"/>
    <w:rsid w:val="0002148C"/>
    <w:rsid w:val="00081DBA"/>
    <w:rsid w:val="00093C1D"/>
    <w:rsid w:val="000A6500"/>
    <w:rsid w:val="00114A92"/>
    <w:rsid w:val="001E68B4"/>
    <w:rsid w:val="00324A2A"/>
    <w:rsid w:val="00364FCF"/>
    <w:rsid w:val="003836AA"/>
    <w:rsid w:val="004C4822"/>
    <w:rsid w:val="005B0450"/>
    <w:rsid w:val="006E2097"/>
    <w:rsid w:val="00755C62"/>
    <w:rsid w:val="00A979BF"/>
    <w:rsid w:val="00AE35D3"/>
    <w:rsid w:val="00C9648C"/>
    <w:rsid w:val="00CE2172"/>
    <w:rsid w:val="00E13AFA"/>
    <w:rsid w:val="00F2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F2D0"/>
  <w15:chartTrackingRefBased/>
  <w15:docId w15:val="{EA1F4A98-5495-4083-A46A-0621141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48C"/>
  </w:style>
  <w:style w:type="paragraph" w:styleId="Heading1">
    <w:name w:val="heading 1"/>
    <w:basedOn w:val="Normal"/>
    <w:next w:val="Normal"/>
    <w:link w:val="Heading1Char"/>
    <w:uiPriority w:val="9"/>
    <w:qFormat/>
    <w:rsid w:val="00755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C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148C"/>
    <w:rPr>
      <w:color w:val="0000FF"/>
      <w:u w:val="single"/>
    </w:rPr>
  </w:style>
  <w:style w:type="table" w:styleId="TableGrid">
    <w:name w:val="Table Grid"/>
    <w:basedOn w:val="TableNormal"/>
    <w:uiPriority w:val="59"/>
    <w:rsid w:val="000A6500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cialworkporta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cialworkportal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Airiodion, Ogbe (Contractor)</dc:creator>
  <cp:keywords/>
  <dc:description/>
  <cp:lastModifiedBy>Ogbe Airiodion</cp:lastModifiedBy>
  <cp:revision>3</cp:revision>
  <dcterms:created xsi:type="dcterms:W3CDTF">2025-07-21T21:11:00Z</dcterms:created>
  <dcterms:modified xsi:type="dcterms:W3CDTF">2025-07-21T21:11:00Z</dcterms:modified>
</cp:coreProperties>
</file>